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/>
          <w:b/>
          <w:i w:val="0"/>
          <w:caps w:val="0"/>
          <w:spacing w:val="0"/>
          <w:w w:val="100"/>
          <w:sz w:val="40"/>
          <w:szCs w:val="40"/>
        </w:rPr>
        <w:t>采购合同</w:t>
      </w:r>
    </w:p>
    <w:p>
      <w:pPr>
        <w:snapToGrid/>
        <w:spacing w:before="0" w:beforeAutospacing="0" w:after="0" w:afterAutospacing="0" w:line="240" w:lineRule="auto"/>
        <w:ind w:firstLine="422" w:firstLineChars="2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合同编号：FYD20221011-02                  签订日期：2022/12/1     </w:t>
      </w:r>
    </w:p>
    <w:p>
      <w:pPr>
        <w:snapToGrid/>
        <w:spacing w:before="0" w:beforeAutospacing="0" w:after="0" w:afterAutospacing="0" w:line="240" w:lineRule="auto"/>
        <w:ind w:firstLine="803"/>
        <w:jc w:val="center"/>
        <w:textAlignment w:val="baseline"/>
        <w:rPr>
          <w:rFonts w:hint="default"/>
          <w:b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                           签订地点：长沙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甲方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（需方）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单位名称：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湖南飞英达智能科技有限公司     </w:t>
      </w:r>
    </w:p>
    <w:p>
      <w:pPr>
        <w:pStyle w:val="10"/>
        <w:snapToGrid w:val="0"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乙方（供方）单位名称：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</w:t>
      </w:r>
      <w:r>
        <w:rPr>
          <w:rFonts w:hint="default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新乐市云乾通信设备销售有限公司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根据《中华人民共和国合同法》的有关规定，为明确合同双方的权利义务，经过双方友好协商，现达成以下条款：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一、产品名称、型号、数量、价格：</w:t>
      </w:r>
    </w:p>
    <w:tbl>
      <w:tblPr>
        <w:tblStyle w:val="5"/>
        <w:tblW w:w="10708" w:type="dxa"/>
        <w:tblInd w:w="3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25"/>
        <w:gridCol w:w="2322"/>
        <w:gridCol w:w="1624"/>
        <w:gridCol w:w="954"/>
        <w:gridCol w:w="1004"/>
        <w:gridCol w:w="1212"/>
        <w:gridCol w:w="1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9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2322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产品名称</w:t>
            </w:r>
          </w:p>
        </w:tc>
        <w:tc>
          <w:tcPr>
            <w:tcW w:w="162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规格型号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100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数量</w:t>
            </w:r>
          </w:p>
        </w:tc>
        <w:tc>
          <w:tcPr>
            <w:tcW w:w="1212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单价</w:t>
            </w:r>
          </w:p>
        </w:tc>
        <w:tc>
          <w:tcPr>
            <w:tcW w:w="1708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59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烽火</w:t>
            </w:r>
          </w:p>
        </w:tc>
        <w:tc>
          <w:tcPr>
            <w:tcW w:w="2322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光缆</w:t>
            </w:r>
          </w:p>
        </w:tc>
        <w:tc>
          <w:tcPr>
            <w:tcW w:w="162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12芯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00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36000</w:t>
            </w:r>
          </w:p>
        </w:tc>
        <w:tc>
          <w:tcPr>
            <w:tcW w:w="1212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1.25</w:t>
            </w:r>
          </w:p>
        </w:tc>
        <w:tc>
          <w:tcPr>
            <w:tcW w:w="1708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59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烽火</w:t>
            </w:r>
          </w:p>
        </w:tc>
        <w:tc>
          <w:tcPr>
            <w:tcW w:w="2322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光缆</w:t>
            </w:r>
          </w:p>
        </w:tc>
        <w:tc>
          <w:tcPr>
            <w:tcW w:w="162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48芯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00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212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2.35</w:t>
            </w:r>
          </w:p>
        </w:tc>
        <w:tc>
          <w:tcPr>
            <w:tcW w:w="1708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14100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59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烽火</w:t>
            </w:r>
          </w:p>
        </w:tc>
        <w:tc>
          <w:tcPr>
            <w:tcW w:w="2322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光缆</w:t>
            </w:r>
          </w:p>
        </w:tc>
        <w:tc>
          <w:tcPr>
            <w:tcW w:w="162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48芯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004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9000</w:t>
            </w:r>
          </w:p>
        </w:tc>
        <w:tc>
          <w:tcPr>
            <w:tcW w:w="1212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2.55</w:t>
            </w:r>
          </w:p>
        </w:tc>
        <w:tc>
          <w:tcPr>
            <w:tcW w:w="1708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22950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206" w:type="dxa"/>
            <w:gridSpan w:val="3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合计</w:t>
            </w: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大写)</w:t>
            </w:r>
          </w:p>
        </w:tc>
        <w:tc>
          <w:tcPr>
            <w:tcW w:w="4794" w:type="dxa"/>
            <w:gridSpan w:val="4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捌万贰仟零伍拾元整</w:t>
            </w:r>
          </w:p>
        </w:tc>
        <w:tc>
          <w:tcPr>
            <w:tcW w:w="1708" w:type="dxa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82050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二、付款方式：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一）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30天月结    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（二）乙方按约定提供给甲方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13%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增值税专用发票。</w:t>
      </w:r>
      <w:bookmarkStart w:id="0" w:name="_GoBack"/>
      <w:bookmarkEnd w:id="0"/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（三）付款到乙方指定账户：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收款单位：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新乐市云乾通信设备销售有限公司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开户银行：张家口银行股份公司新乐支行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账号：414517834800015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三、交货方式、交货日期及交货地点：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（一）交货日期：合同生效后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日内乙方交付甲方产品。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（二）交货地点：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四、质量标准：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乙方所提供产品的技术指标应符合国家或颁布标准。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/>
          <w:i w:val="0"/>
          <w:caps w:val="0"/>
          <w:spacing w:val="0"/>
          <w:w w:val="100"/>
          <w:sz w:val="30"/>
          <w:szCs w:val="30"/>
          <w:lang w:eastAsia="zh-CN"/>
        </w:rPr>
        <w:t>五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  <w:lang w:eastAsia="zh-CN"/>
        </w:rPr>
        <w:t>验收方法及质保条款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一）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验收标准：按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乙方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的出厂标准或国家相关行业标准检验，或按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甲乙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双方签字确认规格书为依据进行验收。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（二）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验收时间：验收时间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为收到货后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三天，如逾期不验收，视为验收合格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（三）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 xml:space="preserve">质保条款： 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             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（四）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质保期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内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因产品质量问题所发生的运费，由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甲、乙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双方各付发货运费。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、违约责任：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（一）货物所有权在甲方未全部支付货款前仍属于乙方，如甲方未能在合同规定的付款期内履行付款义务，乙方有权不再向甲方提供货物。货物的风险责任自货物送至甲方指定地点起转移。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（二）合同一经签订立即生效，双方必须严格执行，若任何一方有正当理由要求变更规格、数量及交货日期，应首先取得双方书面或传真同意，并承担由此给对方造成的直接损失。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（三）甲方未能按合约支付货款金额，每延迟一天承担总货款金额0.5%的违约金，乙方未按照合同规定时间交货的，每延迟一天承担总货款金额0.5%的违约金。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微软雅黑" w:hAnsi="微软雅黑" w:eastAsia="微软雅黑" w:cs="微软雅黑"/>
          <w:b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spacing w:val="0"/>
          <w:w w:val="100"/>
          <w:sz w:val="21"/>
          <w:szCs w:val="21"/>
          <w:lang w:eastAsia="zh-CN"/>
        </w:rPr>
        <w:t>七</w:t>
      </w:r>
      <w:r>
        <w:rPr>
          <w:rFonts w:hint="eastAsia" w:ascii="微软雅黑" w:hAnsi="微软雅黑" w:eastAsia="微软雅黑" w:cs="微软雅黑"/>
          <w:b/>
          <w:i w:val="0"/>
          <w:caps w:val="0"/>
          <w:spacing w:val="0"/>
          <w:w w:val="100"/>
          <w:sz w:val="21"/>
          <w:szCs w:val="21"/>
        </w:rPr>
        <w:t>、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争议的解决：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（一）凡因执行本合同所发生的争议，或与本合同有关的一切争议，双方应通过友好协商解决。如果协商不能解决，依照《中华人民共和国合同法》，可由双方仲载部门解决或向人民法院起诉。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（二）本合同一式贰份，甲乙双方各持壹份，具有同等法律效力。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甲方(需方)：湖南飞英达智能科技有限公司      乙方(供方)：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新乐市云乾通信设备销售有限公司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签字：                                      签字：李彬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（盖章）                                    （盖章）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日期： 2022年12月1日                     日期： 2022年12月1日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TZkYWI4MzgzNDAxZmFlODZhMGNjNTBkZGMzMjUifQ=="/>
  </w:docVars>
  <w:rsids>
    <w:rsidRoot w:val="00066BF9"/>
    <w:rsid w:val="00040655"/>
    <w:rsid w:val="0004348D"/>
    <w:rsid w:val="00066BF9"/>
    <w:rsid w:val="00112D66"/>
    <w:rsid w:val="001358CE"/>
    <w:rsid w:val="0014567E"/>
    <w:rsid w:val="00151839"/>
    <w:rsid w:val="00151E9B"/>
    <w:rsid w:val="001A6B92"/>
    <w:rsid w:val="00205CCD"/>
    <w:rsid w:val="002E4263"/>
    <w:rsid w:val="002F2697"/>
    <w:rsid w:val="00364444"/>
    <w:rsid w:val="003A5212"/>
    <w:rsid w:val="003E09B0"/>
    <w:rsid w:val="00471180"/>
    <w:rsid w:val="00490864"/>
    <w:rsid w:val="0049259C"/>
    <w:rsid w:val="004B45FA"/>
    <w:rsid w:val="004D1FC7"/>
    <w:rsid w:val="005A3AE7"/>
    <w:rsid w:val="005B2FA0"/>
    <w:rsid w:val="005B618F"/>
    <w:rsid w:val="005D3DCE"/>
    <w:rsid w:val="006233E8"/>
    <w:rsid w:val="00641EA5"/>
    <w:rsid w:val="0067061F"/>
    <w:rsid w:val="00696146"/>
    <w:rsid w:val="00702A8A"/>
    <w:rsid w:val="00712001"/>
    <w:rsid w:val="00736E11"/>
    <w:rsid w:val="007B779D"/>
    <w:rsid w:val="008044FA"/>
    <w:rsid w:val="0090171E"/>
    <w:rsid w:val="00940659"/>
    <w:rsid w:val="00977982"/>
    <w:rsid w:val="009C7C87"/>
    <w:rsid w:val="00A21887"/>
    <w:rsid w:val="00AF4641"/>
    <w:rsid w:val="00B54A1E"/>
    <w:rsid w:val="00B627DA"/>
    <w:rsid w:val="00B70BA3"/>
    <w:rsid w:val="00BD049C"/>
    <w:rsid w:val="00C65C95"/>
    <w:rsid w:val="00CA6558"/>
    <w:rsid w:val="00D85F25"/>
    <w:rsid w:val="00DB557A"/>
    <w:rsid w:val="00DD0549"/>
    <w:rsid w:val="00EA3E8E"/>
    <w:rsid w:val="00EA5241"/>
    <w:rsid w:val="00EE2FCA"/>
    <w:rsid w:val="00FC03E6"/>
    <w:rsid w:val="00FE38DC"/>
    <w:rsid w:val="019C2A6B"/>
    <w:rsid w:val="01AE2327"/>
    <w:rsid w:val="01F101F3"/>
    <w:rsid w:val="02871B4E"/>
    <w:rsid w:val="02AF7678"/>
    <w:rsid w:val="02FF63B2"/>
    <w:rsid w:val="03767EB5"/>
    <w:rsid w:val="0AC50A9D"/>
    <w:rsid w:val="0B1E671A"/>
    <w:rsid w:val="0B511FD1"/>
    <w:rsid w:val="0C257785"/>
    <w:rsid w:val="0C3D73B2"/>
    <w:rsid w:val="0CBE467B"/>
    <w:rsid w:val="0CE8782D"/>
    <w:rsid w:val="0E833FF5"/>
    <w:rsid w:val="10CD6C94"/>
    <w:rsid w:val="13CB5FFB"/>
    <w:rsid w:val="13CD0238"/>
    <w:rsid w:val="15716F5C"/>
    <w:rsid w:val="165C52CA"/>
    <w:rsid w:val="173A759F"/>
    <w:rsid w:val="187423CF"/>
    <w:rsid w:val="19C92A8D"/>
    <w:rsid w:val="1AED1532"/>
    <w:rsid w:val="1B511415"/>
    <w:rsid w:val="1CD557F5"/>
    <w:rsid w:val="1D1A5DD4"/>
    <w:rsid w:val="1D7D7B06"/>
    <w:rsid w:val="1E8115F1"/>
    <w:rsid w:val="1EA74866"/>
    <w:rsid w:val="1FBA219E"/>
    <w:rsid w:val="20F97DC6"/>
    <w:rsid w:val="22E060E7"/>
    <w:rsid w:val="24280900"/>
    <w:rsid w:val="2675533C"/>
    <w:rsid w:val="26CB2347"/>
    <w:rsid w:val="27685259"/>
    <w:rsid w:val="27B104A2"/>
    <w:rsid w:val="28944322"/>
    <w:rsid w:val="2B807582"/>
    <w:rsid w:val="2BFF6C28"/>
    <w:rsid w:val="2D6B5F82"/>
    <w:rsid w:val="2DFD4BAB"/>
    <w:rsid w:val="2F2820FC"/>
    <w:rsid w:val="306F137A"/>
    <w:rsid w:val="333444DE"/>
    <w:rsid w:val="337B5129"/>
    <w:rsid w:val="33A00D5D"/>
    <w:rsid w:val="351D2D40"/>
    <w:rsid w:val="35351FF7"/>
    <w:rsid w:val="367F5D99"/>
    <w:rsid w:val="37B32AE6"/>
    <w:rsid w:val="37DC57FF"/>
    <w:rsid w:val="38BE61E2"/>
    <w:rsid w:val="39874D01"/>
    <w:rsid w:val="399860D0"/>
    <w:rsid w:val="3D006466"/>
    <w:rsid w:val="3D73431F"/>
    <w:rsid w:val="3E09293D"/>
    <w:rsid w:val="3FB83028"/>
    <w:rsid w:val="409C64A6"/>
    <w:rsid w:val="40BB33C9"/>
    <w:rsid w:val="4521341D"/>
    <w:rsid w:val="46AA13F1"/>
    <w:rsid w:val="48E931CC"/>
    <w:rsid w:val="4D766010"/>
    <w:rsid w:val="4F14336A"/>
    <w:rsid w:val="4F450FD4"/>
    <w:rsid w:val="4F8F7EC7"/>
    <w:rsid w:val="532505C5"/>
    <w:rsid w:val="572B77D7"/>
    <w:rsid w:val="5B653729"/>
    <w:rsid w:val="5C780C65"/>
    <w:rsid w:val="5DD4609A"/>
    <w:rsid w:val="5F074810"/>
    <w:rsid w:val="601A675D"/>
    <w:rsid w:val="618D7901"/>
    <w:rsid w:val="63150F41"/>
    <w:rsid w:val="65747889"/>
    <w:rsid w:val="65DB0656"/>
    <w:rsid w:val="66105883"/>
    <w:rsid w:val="664A4CC3"/>
    <w:rsid w:val="66E66659"/>
    <w:rsid w:val="67C443AF"/>
    <w:rsid w:val="68945B31"/>
    <w:rsid w:val="6B657311"/>
    <w:rsid w:val="6B851F9E"/>
    <w:rsid w:val="6C3E6234"/>
    <w:rsid w:val="6DD32F07"/>
    <w:rsid w:val="6DFF66B4"/>
    <w:rsid w:val="704C4F43"/>
    <w:rsid w:val="70D9781C"/>
    <w:rsid w:val="72C053DF"/>
    <w:rsid w:val="72CB3CE7"/>
    <w:rsid w:val="73AC5F77"/>
    <w:rsid w:val="74E44BE7"/>
    <w:rsid w:val="76650B0D"/>
    <w:rsid w:val="782A6520"/>
    <w:rsid w:val="78D07CF4"/>
    <w:rsid w:val="7A0B19CB"/>
    <w:rsid w:val="7A43252F"/>
    <w:rsid w:val="7A5A6A7C"/>
    <w:rsid w:val="7BDF31F0"/>
    <w:rsid w:val="7CE62CF1"/>
    <w:rsid w:val="7D61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940</Words>
  <Characters>1020</Characters>
  <Lines>5</Lines>
  <Paragraphs>1</Paragraphs>
  <TotalTime>9</TotalTime>
  <ScaleCrop>false</ScaleCrop>
  <LinksUpToDate>false</LinksUpToDate>
  <CharactersWithSpaces>1236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2019-05-14T05:10:00Z</dcterms:created>
  <dc:creator>Microsoft</dc:creator>
  <cp:lastModifiedBy>改变自己</cp:lastModifiedBy>
  <dcterms:modified xsi:type="dcterms:W3CDTF">2022-12-01T07:38:01Z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BD2006AA4E6346AB920B70F9821918C3</vt:lpwstr>
  </property>
  <property fmtid="{D5CDD505-2E9C-101B-9397-08002B2CF9AE}" pid="4" name="commondata">
    <vt:lpwstr>eyJoZGlkIjoiMjQyZWNmZTAzNzdkNzVlNjgyMjE4OWEwMWUxYjVkMTUifQ==</vt:lpwstr>
  </property>
</Properties>
</file>